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南通大学文学院专业技术</w:t>
      </w:r>
      <w:r>
        <w:rPr>
          <w:rFonts w:hint="eastAsia" w:eastAsia="黑体" w:cs="黑体"/>
          <w:b/>
          <w:bCs/>
          <w:sz w:val="32"/>
          <w:szCs w:val="32"/>
          <w:u w:val="single"/>
        </w:rPr>
        <w:t>　</w:t>
      </w:r>
      <w:r>
        <w:rPr>
          <w:rFonts w:hint="eastAsia" w:eastAsia="黑体" w:cs="黑体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eastAsia="黑体" w:cs="黑体"/>
          <w:b/>
          <w:bCs/>
          <w:sz w:val="32"/>
          <w:szCs w:val="32"/>
          <w:u w:val="single"/>
        </w:rPr>
        <w:t>　</w:t>
      </w:r>
      <w:r>
        <w:rPr>
          <w:rFonts w:hint="eastAsia" w:eastAsia="黑体" w:cs="黑体"/>
          <w:b/>
          <w:bCs/>
          <w:sz w:val="32"/>
          <w:szCs w:val="32"/>
        </w:rPr>
        <w:t>级岗位申报简表</w:t>
      </w:r>
    </w:p>
    <w:p>
      <w:pPr>
        <w:spacing w:line="240" w:lineRule="exact"/>
        <w:jc w:val="center"/>
        <w:rPr>
          <w:rFonts w:eastAsia="黑体"/>
          <w:b/>
          <w:bCs/>
          <w:sz w:val="32"/>
          <w:szCs w:val="32"/>
        </w:rPr>
      </w:pPr>
    </w:p>
    <w:tbl>
      <w:tblPr>
        <w:tblStyle w:val="9"/>
        <w:tblW w:w="9566" w:type="dxa"/>
        <w:tblInd w:w="1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723"/>
        <w:gridCol w:w="130"/>
        <w:gridCol w:w="1031"/>
        <w:gridCol w:w="1260"/>
        <w:gridCol w:w="1265"/>
        <w:gridCol w:w="2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74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723" w:type="dxa"/>
            <w:tcBorders>
              <w:top w:val="single" w:color="auto" w:sz="12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杨菊</w:t>
            </w:r>
          </w:p>
        </w:tc>
        <w:tc>
          <w:tcPr>
            <w:tcW w:w="11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1972.9</w:t>
            </w:r>
          </w:p>
        </w:tc>
        <w:tc>
          <w:tcPr>
            <w:tcW w:w="126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来校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工作年月</w:t>
            </w:r>
          </w:p>
        </w:tc>
        <w:tc>
          <w:tcPr>
            <w:tcW w:w="240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1996.8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atLeast"/>
        </w:trPr>
        <w:tc>
          <w:tcPr>
            <w:tcW w:w="360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现聘专业技术职务及聘任时间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（转评专业技术职务分行填写）</w:t>
            </w:r>
          </w:p>
        </w:tc>
        <w:tc>
          <w:tcPr>
            <w:tcW w:w="5964" w:type="dxa"/>
            <w:gridSpan w:val="4"/>
            <w:vAlign w:val="center"/>
          </w:tcPr>
          <w:p>
            <w:pPr>
              <w:ind w:left="-2"/>
              <w:jc w:val="lef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副教授2009年7月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9566" w:type="dxa"/>
            <w:gridSpan w:val="7"/>
            <w:vAlign w:val="center"/>
          </w:tcPr>
          <w:p>
            <w:pPr>
              <w:ind w:left="-2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近三年年度考核均为合格以上、完成规定的岗位职责   （是）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9566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ind w:left="-2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近三年圆满完成学校和学院下达的教学任务，且年度教学考核均为良好及以上（是）</w:t>
            </w:r>
          </w:p>
        </w:tc>
      </w:tr>
    </w:tbl>
    <w:p>
      <w:pPr>
        <w:spacing w:line="240" w:lineRule="exact"/>
        <w:ind w:firstLine="280" w:firstLineChars="100"/>
        <w:outlineLvl w:val="0"/>
        <w:rPr>
          <w:rFonts w:ascii="黑体" w:eastAsia="黑体"/>
          <w:sz w:val="28"/>
          <w:szCs w:val="28"/>
        </w:rPr>
      </w:pPr>
    </w:p>
    <w:p>
      <w:pPr>
        <w:ind w:firstLine="280" w:firstLineChars="100"/>
        <w:outlineLvl w:val="0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符合申报岗位条件情况</w:t>
      </w:r>
    </w:p>
    <w:tbl>
      <w:tblPr>
        <w:tblStyle w:val="9"/>
        <w:tblW w:w="96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0" w:hRule="atLeast"/>
          <w:jc w:val="center"/>
        </w:trPr>
        <w:tc>
          <w:tcPr>
            <w:tcW w:w="9685" w:type="dxa"/>
            <w:vAlign w:val="center"/>
          </w:tcPr>
          <w:p>
            <w:pPr>
              <w:spacing w:line="440" w:lineRule="exact"/>
              <w:ind w:firstLine="480" w:firstLineChars="200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hint="eastAsia"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 xml:space="preserve">  聘任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  <w:lang w:val="en-US" w:eastAsia="zh-CN"/>
              </w:rPr>
              <w:t>7</w:t>
            </w:r>
            <w:r>
              <w:rPr>
                <w:rFonts w:hint="eastAsia" w:eastAsia="仿宋_GB2312" w:cs="仿宋_GB2312"/>
                <w:sz w:val="24"/>
                <w:szCs w:val="24"/>
              </w:rPr>
              <w:t>级专业技术职务满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>12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</w:rPr>
              <w:t>年，符合《</w:t>
            </w:r>
            <w:r>
              <w:rPr>
                <w:rFonts w:eastAsia="仿宋_GB2312" w:cs="仿宋_GB2312"/>
                <w:sz w:val="24"/>
                <w:szCs w:val="24"/>
              </w:rPr>
              <w:t>南通大学</w:t>
            </w:r>
            <w:r>
              <w:rPr>
                <w:rFonts w:hint="eastAsia" w:eastAsia="仿宋_GB2312" w:cs="仿宋_GB2312"/>
                <w:sz w:val="24"/>
                <w:szCs w:val="24"/>
              </w:rPr>
              <w:t>文学院</w:t>
            </w:r>
            <w:r>
              <w:rPr>
                <w:rFonts w:eastAsia="仿宋_GB2312" w:cs="仿宋_GB2312"/>
                <w:sz w:val="24"/>
                <w:szCs w:val="24"/>
              </w:rPr>
              <w:t>20</w:t>
            </w:r>
            <w:r>
              <w:rPr>
                <w:rFonts w:hint="eastAsia" w:eastAsia="仿宋_GB2312" w:cs="仿宋_GB2312"/>
                <w:sz w:val="24"/>
                <w:szCs w:val="24"/>
              </w:rPr>
              <w:t>21</w:t>
            </w:r>
            <w:r>
              <w:rPr>
                <w:rFonts w:eastAsia="仿宋_GB2312" w:cs="仿宋_GB2312"/>
                <w:sz w:val="24"/>
                <w:szCs w:val="24"/>
              </w:rPr>
              <w:t>年五级及以下基础岗位</w:t>
            </w:r>
          </w:p>
          <w:p>
            <w:pPr>
              <w:spacing w:line="440" w:lineRule="exac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>新增聘用办法》</w:t>
            </w:r>
            <w:r>
              <w:rPr>
                <w:rFonts w:hint="eastAsia" w:eastAsia="仿宋_GB2312" w:cs="仿宋_GB2312"/>
                <w:sz w:val="24"/>
                <w:szCs w:val="24"/>
              </w:rPr>
              <w:t>附表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  <w:lang w:val="en-US" w:eastAsia="zh-CN"/>
              </w:rPr>
              <w:t>1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</w:rPr>
              <w:t>第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 w:cs="仿宋_GB2312"/>
                <w:sz w:val="24"/>
                <w:szCs w:val="24"/>
              </w:rPr>
              <w:t>项（按附表条款选项具体填写）。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附表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　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  <w:lang w:val="en-US" w:eastAsia="zh-CN"/>
              </w:rPr>
              <w:t>1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　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</w:p>
          <w:p>
            <w:pPr>
              <w:spacing w:line="440" w:lineRule="exact"/>
              <w:rPr>
                <w:rFonts w:hint="default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>一级B类论文1篇，著名出版社著作折合一级B类论文1篇、二级论文1篇。</w:t>
            </w:r>
            <w:bookmarkStart w:id="0" w:name="_GoBack"/>
            <w:bookmarkEnd w:id="0"/>
            <w:r>
              <w:rPr>
                <w:rFonts w:eastAsia="仿宋_GB2312"/>
                <w:sz w:val="24"/>
                <w:szCs w:val="24"/>
                <w:u w:val="single"/>
              </w:rPr>
              <w:t xml:space="preserve">                                               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outlineLvl w:val="0"/>
        <w:rPr>
          <w:rFonts w:eastAsia="仿宋_GB2312"/>
          <w:sz w:val="24"/>
          <w:szCs w:val="24"/>
        </w:rPr>
      </w:pPr>
    </w:p>
    <w:p>
      <w:pPr>
        <w:outlineLvl w:val="0"/>
        <w:rPr>
          <w:rFonts w:eastAsia="仿宋_GB2312" w:cs="仿宋_GB2312"/>
          <w:sz w:val="24"/>
          <w:szCs w:val="24"/>
        </w:rPr>
      </w:pPr>
      <w:r>
        <w:rPr>
          <w:rFonts w:hint="eastAsia" w:eastAsia="仿宋_GB2312" w:cs="仿宋_GB2312"/>
          <w:sz w:val="24"/>
          <w:szCs w:val="24"/>
        </w:rPr>
        <w:t xml:space="preserve">                                     </w:t>
      </w:r>
    </w:p>
    <w:p>
      <w:pPr>
        <w:outlineLvl w:val="0"/>
        <w:rPr>
          <w:rFonts w:eastAsia="仿宋_GB2312"/>
          <w:sz w:val="24"/>
          <w:szCs w:val="24"/>
          <w:u w:val="single"/>
        </w:rPr>
      </w:pPr>
      <w:r>
        <w:rPr>
          <w:rFonts w:hint="eastAsia" w:eastAsia="仿宋_GB2312" w:cs="仿宋_GB2312"/>
          <w:sz w:val="24"/>
          <w:szCs w:val="24"/>
        </w:rPr>
        <w:t xml:space="preserve">                                    所填内容属实（本人签名）</w:t>
      </w: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/>
          <w:sz w:val="24"/>
          <w:szCs w:val="24"/>
          <w:u w:val="single"/>
        </w:rPr>
        <w:t xml:space="preserve">                  </w:t>
      </w:r>
    </w:p>
    <w:p>
      <w:pPr>
        <w:outlineLvl w:val="0"/>
        <w:rPr>
          <w:rFonts w:eastAsia="仿宋_GB2312"/>
          <w:sz w:val="24"/>
          <w:szCs w:val="24"/>
        </w:rPr>
      </w:pPr>
    </w:p>
    <w:p>
      <w:pPr>
        <w:outlineLvl w:val="0"/>
        <w:rPr>
          <w:rFonts w:eastAsia="仿宋_GB2312"/>
          <w:sz w:val="24"/>
          <w:szCs w:val="24"/>
          <w:u w:val="single"/>
        </w:rPr>
      </w:pPr>
      <w:r>
        <w:rPr>
          <w:rFonts w:eastAsia="仿宋_GB2312"/>
          <w:sz w:val="24"/>
          <w:szCs w:val="24"/>
        </w:rPr>
        <w:t xml:space="preserve">   </w:t>
      </w:r>
      <w:r>
        <w:rPr>
          <w:rFonts w:hint="eastAsia" w:eastAsia="仿宋_GB2312"/>
          <w:sz w:val="24"/>
          <w:szCs w:val="24"/>
        </w:rPr>
        <w:t xml:space="preserve">                                  学院</w:t>
      </w:r>
      <w:r>
        <w:rPr>
          <w:rFonts w:hint="eastAsia" w:eastAsia="仿宋_GB2312" w:cs="仿宋_GB2312"/>
          <w:sz w:val="24"/>
          <w:szCs w:val="24"/>
        </w:rPr>
        <w:t>（负责人签字、盖章）</w:t>
      </w: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/>
          <w:sz w:val="24"/>
          <w:szCs w:val="24"/>
          <w:u w:val="single"/>
        </w:rPr>
        <w:t xml:space="preserve">                </w:t>
      </w:r>
      <w:r>
        <w:rPr>
          <w:rFonts w:hint="eastAsia" w:eastAsia="仿宋_GB2312"/>
          <w:sz w:val="24"/>
          <w:szCs w:val="24"/>
          <w:u w:val="single"/>
        </w:rPr>
        <w:t xml:space="preserve"> </w:t>
      </w:r>
    </w:p>
    <w:sectPr>
      <w:pgSz w:w="11907" w:h="16840"/>
      <w:pgMar w:top="1361" w:right="1134" w:bottom="851" w:left="1134" w:header="851" w:footer="1418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